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032CB" w14:textId="77777777" w:rsidR="004C6223" w:rsidRDefault="004C6223" w:rsidP="004C6223">
      <w:pPr>
        <w:pStyle w:val="Paragraf"/>
        <w:numPr>
          <w:ilvl w:val="0"/>
          <w:numId w:val="0"/>
        </w:numPr>
        <w:spacing w:before="120"/>
      </w:pPr>
      <w:r>
        <w:t>Ceny i opłaty związane ze świadczeniem Usługi Biletowej</w:t>
      </w:r>
    </w:p>
    <w:p w14:paraId="6589768D" w14:textId="77777777" w:rsidR="004C6223" w:rsidRPr="004C6223" w:rsidRDefault="004C6223" w:rsidP="004C6223">
      <w:pPr>
        <w:pStyle w:val="Ustp"/>
        <w:numPr>
          <w:ilvl w:val="0"/>
          <w:numId w:val="0"/>
        </w:numPr>
        <w:spacing w:before="120"/>
        <w:ind w:left="5246"/>
      </w:pP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91"/>
        <w:gridCol w:w="2127"/>
        <w:gridCol w:w="6978"/>
      </w:tblGrid>
      <w:tr w:rsidR="004C6223" w:rsidRPr="00D45D54" w14:paraId="449D5F7B" w14:textId="77777777" w:rsidTr="004C6223">
        <w:tc>
          <w:tcPr>
            <w:tcW w:w="9496" w:type="dxa"/>
            <w:gridSpan w:val="3"/>
            <w:shd w:val="clear" w:color="auto" w:fill="002060"/>
          </w:tcPr>
          <w:p w14:paraId="6595F322" w14:textId="77777777" w:rsidR="004C6223" w:rsidRPr="004C6223" w:rsidRDefault="004C6223" w:rsidP="004C6223">
            <w:pPr>
              <w:pStyle w:val="ListParagraph"/>
              <w:numPr>
                <w:ilvl w:val="0"/>
                <w:numId w:val="3"/>
              </w:numPr>
              <w:spacing w:before="120" w:after="120" w:line="288" w:lineRule="auto"/>
              <w:contextualSpacing w:val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4C622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Opłata Miesięczna</w:t>
            </w:r>
          </w:p>
        </w:tc>
      </w:tr>
      <w:tr w:rsidR="004C6223" w:rsidRPr="00D45D54" w14:paraId="00A0C472" w14:textId="77777777" w:rsidTr="00D758A4">
        <w:tc>
          <w:tcPr>
            <w:tcW w:w="391" w:type="dxa"/>
          </w:tcPr>
          <w:p w14:paraId="6464BC63" w14:textId="77777777" w:rsidR="004C6223" w:rsidRPr="00A67090" w:rsidRDefault="004C6223" w:rsidP="004C6223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709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9BFF7B" w14:textId="1DD7AB9D" w:rsidR="004C6223" w:rsidRPr="00D45D54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Opłata Miesięczna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br/>
            </w:r>
            <w:r w:rsidRPr="007862B5">
              <w:rPr>
                <w:rFonts w:ascii="Arial Narrow" w:hAnsi="Arial Narrow" w:cs="Arial"/>
                <w:sz w:val="20"/>
                <w:szCs w:val="20"/>
              </w:rPr>
              <w:t xml:space="preserve">(§ </w:t>
            </w: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7862B5">
              <w:rPr>
                <w:rFonts w:ascii="Arial Narrow" w:hAnsi="Arial Narrow" w:cs="Arial"/>
                <w:sz w:val="20"/>
                <w:szCs w:val="20"/>
              </w:rPr>
              <w:t xml:space="preserve"> ust. 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7862B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Umowy</w:t>
            </w:r>
            <w:r w:rsidRPr="007862B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978" w:type="dxa"/>
          </w:tcPr>
          <w:p w14:paraId="3F81F065" w14:textId="77777777" w:rsidR="00A20405" w:rsidRDefault="00A20405" w:rsidP="00A20405">
            <w:pPr>
              <w:spacing w:before="120" w:after="120" w:line="288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DC1123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= [(Pz</w:t>
            </w:r>
            <w:r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+ Pms+Pp +Pi+Po)+Pf ]/12</w:t>
            </w:r>
          </w:p>
          <w:p w14:paraId="76F031B3" w14:textId="77777777" w:rsidR="00A20405" w:rsidRPr="005208EE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08EE">
              <w:rPr>
                <w:rFonts w:ascii="Arial Narrow" w:hAnsi="Arial Narrow" w:cs="Arial"/>
                <w:sz w:val="20"/>
                <w:szCs w:val="20"/>
              </w:rPr>
              <w:t>gdzie:</w:t>
            </w:r>
          </w:p>
          <w:p w14:paraId="77AF8627" w14:textId="77777777" w:rsidR="00A20405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Pz </w:t>
            </w:r>
            <w:r>
              <w:rPr>
                <w:rFonts w:ascii="Arial Narrow" w:hAnsi="Arial Narrow" w:cs="Arial"/>
                <w:sz w:val="20"/>
                <w:szCs w:val="20"/>
              </w:rPr>
              <w:t>– koszty zabezpieczeń, wyrażone w EUR</w:t>
            </w:r>
            <w:r w:rsidRPr="00B647E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23BA7630" w14:textId="77777777" w:rsidR="00A20405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647EC">
              <w:rPr>
                <w:rFonts w:ascii="Arial Narrow" w:hAnsi="Arial Narrow" w:cs="Arial"/>
                <w:b/>
                <w:sz w:val="20"/>
                <w:szCs w:val="20"/>
              </w:rPr>
              <w:t>Pm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koszty stałe magazynowania, wyrażone w EUR</w:t>
            </w:r>
          </w:p>
          <w:p w14:paraId="4354D831" w14:textId="77777777" w:rsidR="00A20405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647EC">
              <w:rPr>
                <w:rFonts w:ascii="Arial Narrow" w:hAnsi="Arial Narrow" w:cs="Arial"/>
                <w:b/>
                <w:sz w:val="20"/>
                <w:szCs w:val="20"/>
              </w:rPr>
              <w:t>Pp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koszty przesyłu, wyrażone w EUR</w:t>
            </w:r>
          </w:p>
          <w:p w14:paraId="28F6B7F4" w14:textId="77777777" w:rsidR="00A20405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Pi – </w:t>
            </w:r>
            <w:r w:rsidRPr="001F308B">
              <w:rPr>
                <w:rFonts w:ascii="Arial Narrow" w:hAnsi="Arial Narrow" w:cs="Arial"/>
                <w:sz w:val="20"/>
                <w:szCs w:val="20"/>
              </w:rPr>
              <w:t>inne koszty związane ze świadczeniem usługi</w:t>
            </w:r>
            <w:r>
              <w:rPr>
                <w:rFonts w:ascii="Arial Narrow" w:hAnsi="Arial Narrow" w:cs="Arial"/>
                <w:sz w:val="20"/>
                <w:szCs w:val="20"/>
              </w:rPr>
              <w:t>, wyrażone w EUR</w:t>
            </w:r>
          </w:p>
          <w:p w14:paraId="1BFBD18D" w14:textId="77777777" w:rsidR="00A20405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647EC">
              <w:rPr>
                <w:rFonts w:ascii="Arial Narrow" w:hAnsi="Arial Narrow" w:cs="Arial"/>
                <w:b/>
                <w:sz w:val="20"/>
                <w:szCs w:val="20"/>
              </w:rPr>
              <w:t>Po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koszty operacyjne i </w:t>
            </w:r>
            <w:r w:rsidRPr="009B4E1C">
              <w:rPr>
                <w:rFonts w:ascii="Arial Narrow" w:hAnsi="Arial Narrow" w:cs="Arial"/>
                <w:sz w:val="20"/>
                <w:szCs w:val="20"/>
              </w:rPr>
              <w:t>marża</w:t>
            </w:r>
            <w:r>
              <w:rPr>
                <w:rFonts w:ascii="Arial Narrow" w:hAnsi="Arial Narrow" w:cs="Arial"/>
                <w:sz w:val="20"/>
                <w:szCs w:val="20"/>
              </w:rPr>
              <w:t>, wyrażone w EUR</w:t>
            </w:r>
          </w:p>
          <w:p w14:paraId="62BCD0BD" w14:textId="26A2D3C2" w:rsidR="005E181B" w:rsidRPr="00742539" w:rsidRDefault="00A20405" w:rsidP="00A20405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647EC">
              <w:rPr>
                <w:rFonts w:ascii="Arial Narrow" w:hAnsi="Arial Narrow" w:cs="Arial"/>
                <w:b/>
                <w:sz w:val="20"/>
                <w:szCs w:val="20"/>
              </w:rPr>
              <w:t>Pf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koszty finansowania, wyrażone w EUR, indeksowane o średnią miesięczną wartość wskaźnika Euro OverNight Index Average, publikowanego przez Europejski Bank Centralny na stronie internetowej </w:t>
            </w:r>
            <w:r w:rsidRPr="000932F2">
              <w:rPr>
                <w:rFonts w:ascii="Arial Narrow" w:hAnsi="Arial Narrow" w:cs="Arial"/>
                <w:sz w:val="20"/>
                <w:szCs w:val="20"/>
              </w:rPr>
              <w:t>http://sdw.ecb.europa.eu</w:t>
            </w:r>
            <w:r>
              <w:rPr>
                <w:rFonts w:ascii="Arial Narrow" w:hAnsi="Arial Narrow" w:cs="Arial"/>
                <w:sz w:val="20"/>
                <w:szCs w:val="20"/>
              </w:rPr>
              <w:t>, powiększoną o 1,25pp., przy czym wartość wskaźnika EONIA nie może być mniejsza niż 0%</w:t>
            </w:r>
            <w:bookmarkStart w:id="0" w:name="_GoBack"/>
            <w:bookmarkEnd w:id="0"/>
          </w:p>
        </w:tc>
      </w:tr>
      <w:tr w:rsidR="004C6223" w:rsidRPr="00D45D54" w14:paraId="4BDAE5C9" w14:textId="77777777" w:rsidTr="004C6223">
        <w:tc>
          <w:tcPr>
            <w:tcW w:w="9496" w:type="dxa"/>
            <w:gridSpan w:val="3"/>
            <w:shd w:val="clear" w:color="auto" w:fill="002060"/>
          </w:tcPr>
          <w:p w14:paraId="329CFE77" w14:textId="77777777" w:rsidR="004C6223" w:rsidRPr="004C6223" w:rsidRDefault="004C6223" w:rsidP="004C6223">
            <w:pPr>
              <w:pStyle w:val="ListParagraph"/>
              <w:numPr>
                <w:ilvl w:val="0"/>
                <w:numId w:val="3"/>
              </w:numPr>
              <w:spacing w:before="120" w:after="120" w:line="288" w:lineRule="auto"/>
              <w:contextualSpacing w:val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4C622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Opłaty związane z uruchomieniem Zapasu Obowiązkowego</w:t>
            </w:r>
          </w:p>
        </w:tc>
      </w:tr>
      <w:tr w:rsidR="004C6223" w:rsidRPr="00844A46" w14:paraId="67C71FD3" w14:textId="77777777" w:rsidTr="00D758A4">
        <w:tc>
          <w:tcPr>
            <w:tcW w:w="391" w:type="dxa"/>
          </w:tcPr>
          <w:p w14:paraId="27AE2B19" w14:textId="77777777" w:rsidR="004C6223" w:rsidRPr="00A67090" w:rsidRDefault="004C6223" w:rsidP="004C6223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709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B81C6C" w14:textId="75DF65B9" w:rsidR="004C6223" w:rsidRPr="00D45D54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D45D54">
              <w:rPr>
                <w:rFonts w:ascii="Arial Narrow" w:hAnsi="Arial Narrow" w:cs="Arial"/>
                <w:sz w:val="20"/>
                <w:szCs w:val="20"/>
              </w:rPr>
              <w:t>Cena Sprzedaży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sz w:val="20"/>
                <w:szCs w:val="20"/>
              </w:rPr>
              <w:t>(§ 3 ust. 2 Umowy)</w:t>
            </w:r>
          </w:p>
        </w:tc>
        <w:tc>
          <w:tcPr>
            <w:tcW w:w="6978" w:type="dxa"/>
          </w:tcPr>
          <w:p w14:paraId="352739DF" w14:textId="77777777" w:rsidR="004C6223" w:rsidRDefault="004C6223" w:rsidP="004C6223">
            <w:pPr>
              <w:spacing w:before="120" w:after="120" w:line="288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Cs = EEX</w:t>
            </w:r>
            <w:r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DA_U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* V</w:t>
            </w:r>
          </w:p>
          <w:p w14:paraId="3CE3E34C" w14:textId="77777777" w:rsidR="004C6223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gdzie:</w:t>
            </w:r>
          </w:p>
          <w:p w14:paraId="0D93B8CC" w14:textId="77777777" w:rsidR="004C6223" w:rsidRPr="00844A46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758A4">
              <w:rPr>
                <w:rFonts w:ascii="Arial Narrow" w:hAnsi="Arial Narrow" w:cs="Arial"/>
                <w:b/>
                <w:sz w:val="20"/>
                <w:szCs w:val="20"/>
              </w:rPr>
              <w:t>EEX</w:t>
            </w:r>
            <w:r w:rsidRPr="00D758A4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D</w:t>
            </w:r>
            <w:r w:rsidRPr="00844A46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A_U</w:t>
            </w:r>
            <w:r w:rsidRPr="00844A46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>średnia arytmetyczna z kursów rozliczeniowych kontrakt</w:t>
            </w:r>
            <w:r>
              <w:rPr>
                <w:rFonts w:ascii="Arial Narrow" w:hAnsi="Arial Narrow" w:cs="Arial"/>
                <w:sz w:val="20"/>
                <w:szCs w:val="20"/>
              </w:rPr>
              <w:t>ów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 xml:space="preserve"> dobow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ych 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 xml:space="preserve">na gaz ziemny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(Day Ahead) i weekendowych na gaz ziemny (Weekend Ahead), notowanych na platformie Pegas prowadzonej  przez </w:t>
            </w:r>
            <w:r w:rsidRPr="008660F5">
              <w:rPr>
                <w:rFonts w:ascii="Arial Narrow" w:hAnsi="Arial Narrow" w:cs="Arial"/>
                <w:sz w:val="20"/>
                <w:szCs w:val="20"/>
              </w:rPr>
              <w:t>Powernext SAS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dla obszaru Gaspool, wyrażona w 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>€/MWh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Średnią oblicza się dla notowań dostępnych w okresie wytłaczania gazu ziemnego z Instalacji Magazynowej w ramach uruchomienia Zapasu Obowiązkowego. </w:t>
            </w:r>
            <w:r w:rsidRPr="00844A46">
              <w:rPr>
                <w:rFonts w:ascii="Arial Narrow" w:hAnsi="Arial Narrow" w:cs="Arial"/>
                <w:sz w:val="20"/>
                <w:szCs w:val="20"/>
              </w:rPr>
              <w:t>Notowania dziennych kursów rozliczeniowych publikowane są na stronie interne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 xml:space="preserve">towej </w:t>
            </w:r>
            <w:r w:rsidRPr="008660F5">
              <w:rPr>
                <w:rFonts w:ascii="Arial Narrow" w:hAnsi="Arial Narrow" w:cs="Arial"/>
                <w:sz w:val="20"/>
                <w:szCs w:val="20"/>
              </w:rPr>
              <w:t>Powernext SAS</w:t>
            </w:r>
            <w:r w:rsidRPr="008660F5" w:rsidDel="008660F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>www</w:t>
            </w:r>
            <w:r>
              <w:rPr>
                <w:rFonts w:ascii="Arial Narrow" w:hAnsi="Arial Narrow" w:cs="Arial"/>
                <w:sz w:val="20"/>
                <w:szCs w:val="20"/>
              </w:rPr>
              <w:t>.powernext.com).</w:t>
            </w:r>
          </w:p>
          <w:p w14:paraId="772529F2" w14:textId="77777777" w:rsidR="004C6223" w:rsidRPr="004C6223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4A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 – 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 xml:space="preserve">wolumen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gazu wytłoczonego z Instalacji Magazynowej w ramach 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>uruchomi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ia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 xml:space="preserve"> Zapasu Obowiązkowego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wyrażony w MWh.</w:t>
            </w:r>
          </w:p>
        </w:tc>
      </w:tr>
      <w:tr w:rsidR="004C6223" w:rsidRPr="00D45D54" w14:paraId="4F73CC8E" w14:textId="77777777" w:rsidTr="00D758A4">
        <w:tc>
          <w:tcPr>
            <w:tcW w:w="391" w:type="dxa"/>
          </w:tcPr>
          <w:p w14:paraId="5D1CC5AE" w14:textId="77777777" w:rsidR="004C6223" w:rsidRPr="00844A46" w:rsidRDefault="004C6223" w:rsidP="004C6223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0" w:firstLine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3D890DC" w14:textId="471E2B87" w:rsidR="008F5CE6" w:rsidRPr="00D45D54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bookmarkStart w:id="1" w:name="_Hlk521658035"/>
            <w:r>
              <w:rPr>
                <w:rFonts w:ascii="Arial Narrow" w:hAnsi="Arial Narrow" w:cs="Arial"/>
                <w:sz w:val="20"/>
                <w:szCs w:val="20"/>
              </w:rPr>
              <w:t xml:space="preserve">Opłata na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okrycie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miennych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t>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osztów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t>M</w:t>
            </w:r>
            <w:r>
              <w:rPr>
                <w:rFonts w:ascii="Arial Narrow" w:hAnsi="Arial Narrow" w:cs="Arial"/>
                <w:sz w:val="20"/>
                <w:szCs w:val="20"/>
              </w:rPr>
              <w:t>agazynowania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br/>
            </w:r>
            <w:bookmarkEnd w:id="1"/>
            <w:r w:rsidR="008F5CE6">
              <w:rPr>
                <w:rFonts w:ascii="Arial Narrow" w:hAnsi="Arial Narrow" w:cs="Arial"/>
                <w:sz w:val="20"/>
                <w:szCs w:val="20"/>
              </w:rPr>
              <w:t>(§ 5 ust. 5 Umowy)</w:t>
            </w:r>
          </w:p>
        </w:tc>
        <w:tc>
          <w:tcPr>
            <w:tcW w:w="6978" w:type="dxa"/>
          </w:tcPr>
          <w:p w14:paraId="163A09F0" w14:textId="77777777" w:rsidR="004C6223" w:rsidRDefault="004C6223" w:rsidP="004C6223">
            <w:pPr>
              <w:spacing w:before="120" w:after="120" w:line="288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Pmz = Smz * V</w:t>
            </w:r>
          </w:p>
          <w:p w14:paraId="4B9BF0A3" w14:textId="77777777" w:rsidR="004C6223" w:rsidRPr="00D758A4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>dzie:</w:t>
            </w:r>
          </w:p>
          <w:p w14:paraId="386B7CC0" w14:textId="77777777" w:rsidR="004C6223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Smz – 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>stawka jednostkowa za wytłoczenie gazu z Instalacji Magazynowej w ramach uruchomienia Zapasu Obowiązkowego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14:paraId="0E9D9BEF" w14:textId="77777777" w:rsidR="004C6223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 – 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 xml:space="preserve">wolumen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gazu wytłoczonego z Instalacji Magazynowej w ramach 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>uruchomi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ia</w:t>
            </w:r>
            <w:r w:rsidRPr="00D758A4">
              <w:rPr>
                <w:rFonts w:ascii="Arial Narrow" w:hAnsi="Arial Narrow"/>
                <w:bCs/>
                <w:sz w:val="20"/>
                <w:szCs w:val="20"/>
              </w:rPr>
              <w:t xml:space="preserve"> Zapasu Obowiązkowego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wyrażony w MWh.</w:t>
            </w:r>
          </w:p>
        </w:tc>
      </w:tr>
      <w:tr w:rsidR="004C6223" w:rsidRPr="005208EE" w14:paraId="22E8E489" w14:textId="77777777" w:rsidTr="00D758A4">
        <w:tc>
          <w:tcPr>
            <w:tcW w:w="391" w:type="dxa"/>
          </w:tcPr>
          <w:p w14:paraId="287B4E49" w14:textId="77777777" w:rsidR="004C6223" w:rsidRPr="00A67090" w:rsidRDefault="004C6223" w:rsidP="004C6223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0" w:firstLine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77132C" w14:textId="534D03D8" w:rsidR="004C6223" w:rsidRPr="00D45D54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D45D54">
              <w:rPr>
                <w:rFonts w:ascii="Arial Narrow" w:hAnsi="Arial Narrow" w:cs="Arial"/>
                <w:sz w:val="20"/>
                <w:szCs w:val="20"/>
              </w:rPr>
              <w:t>Cena Odtworzenia Zapasu Obowiązkowego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(§ 5 ust. </w:t>
            </w:r>
            <w:r w:rsidR="008F5CE6">
              <w:rPr>
                <w:rFonts w:ascii="Arial Narrow" w:hAnsi="Arial Narrow" w:cs="Arial"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Umowy)</w:t>
            </w:r>
          </w:p>
        </w:tc>
        <w:tc>
          <w:tcPr>
            <w:tcW w:w="6978" w:type="dxa"/>
          </w:tcPr>
          <w:p w14:paraId="7C2751DA" w14:textId="77777777" w:rsidR="004C6223" w:rsidRDefault="004C6223" w:rsidP="004C6223">
            <w:pPr>
              <w:spacing w:before="120" w:after="120" w:line="288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 = EEX</w:t>
            </w:r>
            <w:r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</w:rPr>
              <w:t xml:space="preserve">DA_U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* V</w:t>
            </w:r>
          </w:p>
          <w:p w14:paraId="0B7C145B" w14:textId="77777777" w:rsidR="004C6223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gdzie:</w:t>
            </w:r>
          </w:p>
          <w:p w14:paraId="322599C9" w14:textId="77777777" w:rsidR="004C6223" w:rsidRPr="00844A46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5F9E">
              <w:rPr>
                <w:rFonts w:ascii="Arial Narrow" w:hAnsi="Arial Narrow" w:cs="Arial"/>
                <w:b/>
                <w:sz w:val="20"/>
                <w:szCs w:val="20"/>
              </w:rPr>
              <w:t>EEX</w:t>
            </w:r>
            <w:r w:rsidRPr="00A85F9E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D</w:t>
            </w:r>
            <w:r w:rsidRPr="00844A46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A_U</w:t>
            </w:r>
            <w:r w:rsidRPr="00844A46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A85F9E">
              <w:rPr>
                <w:rFonts w:ascii="Arial Narrow" w:hAnsi="Arial Narrow" w:cs="Arial"/>
                <w:sz w:val="20"/>
                <w:szCs w:val="20"/>
              </w:rPr>
              <w:t>średnia arytmetyczna z kursów rozliczeniowych kontrakt</w:t>
            </w:r>
            <w:r>
              <w:rPr>
                <w:rFonts w:ascii="Arial Narrow" w:hAnsi="Arial Narrow" w:cs="Arial"/>
                <w:sz w:val="20"/>
                <w:szCs w:val="20"/>
              </w:rPr>
              <w:t>ów</w:t>
            </w:r>
            <w:r w:rsidRPr="00A85F9E">
              <w:rPr>
                <w:rFonts w:ascii="Arial Narrow" w:hAnsi="Arial Narrow" w:cs="Arial"/>
                <w:sz w:val="20"/>
                <w:szCs w:val="20"/>
              </w:rPr>
              <w:t xml:space="preserve"> dobow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ych </w:t>
            </w:r>
            <w:r w:rsidRPr="00A85F9E">
              <w:rPr>
                <w:rFonts w:ascii="Arial Narrow" w:hAnsi="Arial Narrow" w:cs="Arial"/>
                <w:sz w:val="20"/>
                <w:szCs w:val="20"/>
              </w:rPr>
              <w:t xml:space="preserve">na gaz ziemny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(Day Ahead) i weekendowych na gaz ziemny (Weekend Ahead), notowanych na platformie Pegas prowadzonej  przez </w:t>
            </w:r>
            <w:r w:rsidRPr="008660F5">
              <w:rPr>
                <w:rFonts w:ascii="Arial Narrow" w:hAnsi="Arial Narrow" w:cs="Arial"/>
                <w:sz w:val="20"/>
                <w:szCs w:val="20"/>
              </w:rPr>
              <w:t>Powernext SAS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dla obszaru Gaspool, wyrażona w </w:t>
            </w:r>
            <w:r w:rsidRPr="00A85F9E">
              <w:rPr>
                <w:rFonts w:ascii="Arial Narrow" w:hAnsi="Arial Narrow" w:cs="Arial"/>
                <w:sz w:val="20"/>
                <w:szCs w:val="20"/>
              </w:rPr>
              <w:lastRenderedPageBreak/>
              <w:t>€/MWh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Średnią oblicza się dla notowań dostępnych w okresie zatłaczania gazu ziemnego do Instalacji Magazynowej w ramach odtworzenia Zapasu Obowiązkowego. </w:t>
            </w:r>
            <w:r w:rsidRPr="00844A46">
              <w:rPr>
                <w:rFonts w:ascii="Arial Narrow" w:hAnsi="Arial Narrow" w:cs="Arial"/>
                <w:sz w:val="20"/>
                <w:szCs w:val="20"/>
              </w:rPr>
              <w:t>Notowania dziennych kursów rozliczeniowych publikowane są na stronie interne</w:t>
            </w:r>
            <w:r w:rsidRPr="00A85F9E">
              <w:rPr>
                <w:rFonts w:ascii="Arial Narrow" w:hAnsi="Arial Narrow" w:cs="Arial"/>
                <w:sz w:val="20"/>
                <w:szCs w:val="20"/>
              </w:rPr>
              <w:t xml:space="preserve">towej </w:t>
            </w:r>
            <w:r w:rsidRPr="009057E2">
              <w:rPr>
                <w:rFonts w:ascii="Arial Narrow" w:hAnsi="Arial Narrow" w:cs="Arial"/>
                <w:sz w:val="20"/>
                <w:szCs w:val="20"/>
              </w:rPr>
              <w:t>Powernext SAS (www.powernext.com).</w:t>
            </w:r>
          </w:p>
          <w:p w14:paraId="67898CBC" w14:textId="77777777" w:rsidR="004C6223" w:rsidRPr="008660F5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 – 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 xml:space="preserve">wolumen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gazu wytłoczonego z Instalacji Magazynowej w ramach 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>uruchomi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ia</w:t>
            </w:r>
            <w:r w:rsidRPr="00A85F9E">
              <w:rPr>
                <w:rFonts w:ascii="Arial Narrow" w:hAnsi="Arial Narrow"/>
                <w:bCs/>
                <w:sz w:val="20"/>
                <w:szCs w:val="20"/>
              </w:rPr>
              <w:t xml:space="preserve"> Zapasu Obowiązkowego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wyrażony w MWh.</w:t>
            </w:r>
          </w:p>
        </w:tc>
      </w:tr>
      <w:tr w:rsidR="004C6223" w:rsidRPr="00A67090" w14:paraId="5D8C2DDB" w14:textId="77777777" w:rsidTr="004C6223">
        <w:tc>
          <w:tcPr>
            <w:tcW w:w="9496" w:type="dxa"/>
            <w:gridSpan w:val="3"/>
            <w:shd w:val="clear" w:color="auto" w:fill="002060"/>
          </w:tcPr>
          <w:p w14:paraId="5B94263F" w14:textId="77777777" w:rsidR="004C6223" w:rsidRPr="004C6223" w:rsidRDefault="004C6223" w:rsidP="004C6223">
            <w:pPr>
              <w:pStyle w:val="ListParagraph"/>
              <w:numPr>
                <w:ilvl w:val="0"/>
                <w:numId w:val="3"/>
              </w:numPr>
              <w:spacing w:before="120" w:after="120" w:line="288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622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lastRenderedPageBreak/>
              <w:t>Opłat</w:t>
            </w: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a odszkodowawcza</w:t>
            </w:r>
          </w:p>
        </w:tc>
      </w:tr>
      <w:tr w:rsidR="004C6223" w:rsidRPr="00A67090" w14:paraId="6D026463" w14:textId="77777777" w:rsidTr="00D758A4">
        <w:tc>
          <w:tcPr>
            <w:tcW w:w="391" w:type="dxa"/>
          </w:tcPr>
          <w:p w14:paraId="65C804C5" w14:textId="77777777" w:rsidR="004C6223" w:rsidRPr="00A67090" w:rsidRDefault="004C6223" w:rsidP="004C6223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0" w:firstLine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6BEE14" w14:textId="77777777" w:rsidR="004C6223" w:rsidRPr="00D45D54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C21CC4">
              <w:rPr>
                <w:rFonts w:ascii="Arial Narrow" w:hAnsi="Arial Narrow" w:cs="Arial"/>
                <w:sz w:val="20"/>
                <w:szCs w:val="20"/>
              </w:rPr>
              <w:t xml:space="preserve">Opłata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odszkodowawcza (stosowana m.in. w przypadku całkowitego zniesienia </w:t>
            </w:r>
            <w:r w:rsidRPr="006D67DF">
              <w:rPr>
                <w:rFonts w:ascii="Arial Narrow" w:hAnsi="Arial Narrow" w:cs="Arial"/>
                <w:sz w:val="20"/>
                <w:szCs w:val="20"/>
              </w:rPr>
              <w:t>obowiązku utrzymywania Zapasu Obowiązkowego przez Zlecającego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na warunkach wskazanych w Umowie)</w:t>
            </w:r>
          </w:p>
        </w:tc>
        <w:tc>
          <w:tcPr>
            <w:tcW w:w="6978" w:type="dxa"/>
          </w:tcPr>
          <w:p w14:paraId="58996069" w14:textId="77777777" w:rsidR="004C6223" w:rsidRDefault="004C6223" w:rsidP="004C6223">
            <w:pPr>
              <w:spacing w:before="120" w:after="120" w:line="288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6373">
              <w:rPr>
                <w:rFonts w:ascii="Arial Narrow" w:hAnsi="Arial Narrow" w:cs="Arial"/>
                <w:b/>
                <w:sz w:val="20"/>
                <w:szCs w:val="20"/>
              </w:rPr>
              <w:t>Ko = P</w:t>
            </w:r>
            <w:r w:rsidRPr="00896373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896373">
              <w:rPr>
                <w:rFonts w:ascii="Arial Narrow" w:hAnsi="Arial Narrow" w:cs="Arial"/>
                <w:b/>
                <w:sz w:val="20"/>
                <w:szCs w:val="20"/>
              </w:rPr>
              <w:t>* N</w:t>
            </w:r>
          </w:p>
          <w:p w14:paraId="0F14929C" w14:textId="77777777" w:rsidR="004C6223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gdzie:</w:t>
            </w:r>
          </w:p>
          <w:p w14:paraId="234924D1" w14:textId="77777777" w:rsidR="004C6223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896373">
              <w:rPr>
                <w:rFonts w:ascii="Arial Narrow" w:hAnsi="Arial Narrow" w:cs="Arial"/>
                <w:b/>
                <w:sz w:val="20"/>
                <w:szCs w:val="20"/>
              </w:rPr>
              <w:t>Ko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Opłata odszkodowawcza</w:t>
            </w:r>
          </w:p>
          <w:p w14:paraId="48163DF7" w14:textId="77777777" w:rsidR="004C6223" w:rsidRDefault="004C6223" w:rsidP="004C6223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896373"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896373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Opłata Miesięczna</w:t>
            </w:r>
          </w:p>
          <w:p w14:paraId="185416FB" w14:textId="77777777" w:rsidR="004C6223" w:rsidRPr="00D45D54" w:rsidRDefault="004C6223" w:rsidP="004C6223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6373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liczba miesięcy od dnia zdarzenia skutkującego obowiązkiem zapłaty Opłaty Odszkodowawczej, włączając miesiąc, w którym zdarzenie nastąpiło, </w:t>
            </w:r>
            <w:r w:rsidRPr="00F40B58">
              <w:rPr>
                <w:rFonts w:ascii="Arial Narrow" w:hAnsi="Arial Narrow" w:cs="Arial"/>
                <w:sz w:val="20"/>
                <w:szCs w:val="20"/>
              </w:rPr>
              <w:t xml:space="preserve">do </w:t>
            </w:r>
            <w:r w:rsidRPr="00D758A4">
              <w:rPr>
                <w:rFonts w:ascii="Arial Narrow" w:hAnsi="Arial Narrow" w:cs="Arial"/>
                <w:sz w:val="20"/>
                <w:szCs w:val="20"/>
              </w:rPr>
              <w:t>zakończenia Okresu Umownego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D45227" w:rsidRPr="00A67090" w14:paraId="35DC8C62" w14:textId="77777777" w:rsidTr="00D45227">
        <w:tc>
          <w:tcPr>
            <w:tcW w:w="9496" w:type="dxa"/>
            <w:gridSpan w:val="3"/>
            <w:shd w:val="clear" w:color="auto" w:fill="002060"/>
          </w:tcPr>
          <w:p w14:paraId="59DAB19C" w14:textId="10DA2181" w:rsidR="00D45227" w:rsidRPr="00D45227" w:rsidRDefault="00D45227" w:rsidP="00D45227">
            <w:pPr>
              <w:pStyle w:val="ListParagraph"/>
              <w:numPr>
                <w:ilvl w:val="0"/>
                <w:numId w:val="3"/>
              </w:numPr>
              <w:spacing w:before="120" w:after="120" w:line="288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Koszt białych certyfikatów</w:t>
            </w:r>
          </w:p>
        </w:tc>
      </w:tr>
      <w:tr w:rsidR="00C94077" w:rsidRPr="00A67090" w14:paraId="1E56801A" w14:textId="77777777" w:rsidTr="00D758A4">
        <w:tc>
          <w:tcPr>
            <w:tcW w:w="391" w:type="dxa"/>
          </w:tcPr>
          <w:p w14:paraId="7C9B54A1" w14:textId="77777777" w:rsidR="00C94077" w:rsidRPr="00A67090" w:rsidRDefault="00C94077" w:rsidP="00C94077">
            <w:pPr>
              <w:pStyle w:val="ListParagraph"/>
              <w:numPr>
                <w:ilvl w:val="6"/>
                <w:numId w:val="2"/>
              </w:numPr>
              <w:spacing w:before="120" w:after="120" w:line="288" w:lineRule="auto"/>
              <w:ind w:left="0" w:firstLine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0AD40A" w14:textId="77777777" w:rsidR="00C94077" w:rsidRPr="00826A01" w:rsidRDefault="00C94077" w:rsidP="00D45227">
            <w:pPr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>oszt białych certyfikatów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(§ 15 ust. 2 Umowy)</w:t>
            </w:r>
          </w:p>
          <w:p w14:paraId="6E0A9A33" w14:textId="77777777" w:rsidR="00C94077" w:rsidRPr="00C21CC4" w:rsidRDefault="00C94077" w:rsidP="00D45227">
            <w:pPr>
              <w:spacing w:before="120" w:after="120" w:line="28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78" w:type="dxa"/>
          </w:tcPr>
          <w:p w14:paraId="3D75790C" w14:textId="4941F445" w:rsidR="00C94077" w:rsidRPr="00826A01" w:rsidRDefault="00C94077" w:rsidP="00D45227">
            <w:pPr>
              <w:autoSpaceDE w:val="0"/>
              <w:autoSpaceDN w:val="0"/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Ceny nie uwzględniają kosztów ponoszonych przez </w:t>
            </w:r>
            <w:r>
              <w:rPr>
                <w:rFonts w:ascii="Arial Narrow" w:hAnsi="Arial Narrow" w:cs="Arial"/>
                <w:sz w:val="20"/>
                <w:szCs w:val="20"/>
              </w:rPr>
              <w:t>PST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 w związku z realizacją dostaw do </w:t>
            </w:r>
            <w:r>
              <w:rPr>
                <w:rFonts w:ascii="Arial Narrow" w:hAnsi="Arial Narrow" w:cs="Arial"/>
                <w:sz w:val="20"/>
                <w:szCs w:val="20"/>
              </w:rPr>
              <w:t>Zlecającego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, a wynikających z realizacji obowiązków określonych w Ustawie o 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fektywności 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>nergetycznej. </w:t>
            </w:r>
          </w:p>
          <w:p w14:paraId="5EB18D09" w14:textId="77777777" w:rsidR="00C94077" w:rsidRPr="00826A01" w:rsidRDefault="00C94077" w:rsidP="00D45227">
            <w:pPr>
              <w:autoSpaceDE w:val="0"/>
              <w:autoSpaceDN w:val="0"/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Koszty te doliczane będą na podstawie oświadczenia </w:t>
            </w:r>
            <w:r>
              <w:rPr>
                <w:rFonts w:ascii="Arial Narrow" w:hAnsi="Arial Narrow" w:cs="Arial"/>
                <w:sz w:val="20"/>
                <w:szCs w:val="20"/>
              </w:rPr>
              <w:t>Zlecającego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 o celu zużycia Paliwa Gazowego dla potrzeb realizacji obowiązków określonych w Ustawie o 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fektywności 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nergetycznej, stanowiącego Załącznik nr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826A01">
              <w:rPr>
                <w:rFonts w:ascii="Arial Narrow" w:hAnsi="Arial Narrow" w:cs="Arial"/>
                <w:sz w:val="20"/>
                <w:szCs w:val="20"/>
              </w:rPr>
              <w:t xml:space="preserve"> do Umowy, w przypadku wystąpienia takiego obowiązku.</w:t>
            </w:r>
          </w:p>
          <w:p w14:paraId="5C7C7DA4" w14:textId="77777777" w:rsidR="00C94077" w:rsidRPr="00826A01" w:rsidRDefault="00C94077" w:rsidP="00D45227">
            <w:pPr>
              <w:autoSpaceDE w:val="0"/>
              <w:autoSpaceDN w:val="0"/>
              <w:spacing w:before="120" w:after="120" w:line="288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6A01">
              <w:rPr>
                <w:rFonts w:ascii="Arial Narrow" w:hAnsi="Arial Narrow"/>
                <w:sz w:val="20"/>
                <w:szCs w:val="20"/>
              </w:rPr>
              <w:t xml:space="preserve">Jednostkowy koszt dla wolumenu podlegającego obowiązkowi wynikającemu z Ustawy o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fektywności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826A01">
              <w:rPr>
                <w:rFonts w:ascii="Arial Narrow" w:hAnsi="Arial Narrow"/>
                <w:sz w:val="20"/>
                <w:szCs w:val="20"/>
              </w:rPr>
              <w:t>nergetycznej wynosi 95% opłaty zastępczej dla okresu dostawy, przeliczonej na PLN/MWh.</w:t>
            </w:r>
          </w:p>
          <w:p w14:paraId="2EECE195" w14:textId="77777777" w:rsidR="00C94077" w:rsidRPr="00826A01" w:rsidRDefault="00C94077" w:rsidP="00D45227">
            <w:pPr>
              <w:spacing w:before="120" w:after="120" w:line="288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6A01">
              <w:rPr>
                <w:rFonts w:ascii="Arial Narrow" w:hAnsi="Arial Narrow"/>
                <w:sz w:val="20"/>
                <w:szCs w:val="20"/>
              </w:rPr>
              <w:t>Dla aktualnie zdefiniowanych opłat zastępczych, jednostkowy koszt wynosi:</w:t>
            </w:r>
          </w:p>
          <w:p w14:paraId="5096E546" w14:textId="77777777" w:rsidR="00C94077" w:rsidRPr="00826A01" w:rsidRDefault="00C94077" w:rsidP="00D45227">
            <w:pPr>
              <w:spacing w:before="120" w:after="120" w:line="288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6A01">
              <w:rPr>
                <w:rFonts w:ascii="Arial Narrow" w:hAnsi="Arial Narrow"/>
                <w:sz w:val="20"/>
                <w:szCs w:val="20"/>
              </w:rPr>
              <w:t>- dla wolumenu z roku 201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…….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PLN/MWh</w:t>
            </w:r>
          </w:p>
          <w:p w14:paraId="10F5F2A3" w14:textId="77777777" w:rsidR="00D45227" w:rsidRDefault="00C94077" w:rsidP="00D45227">
            <w:pPr>
              <w:spacing w:before="120" w:after="120" w:line="288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6A01">
              <w:rPr>
                <w:rFonts w:ascii="Arial Narrow" w:hAnsi="Arial Narrow"/>
                <w:sz w:val="20"/>
                <w:szCs w:val="20"/>
              </w:rPr>
              <w:t xml:space="preserve">Koszt ten dla kolejnych lat będzie rósł o </w:t>
            </w:r>
            <w:r w:rsidRPr="006A19C6">
              <w:rPr>
                <w:rFonts w:ascii="Arial Narrow" w:hAnsi="Arial Narrow"/>
                <w:sz w:val="20"/>
                <w:szCs w:val="20"/>
                <w:highlight w:val="yellow"/>
              </w:rPr>
              <w:t>5%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rok do roku (201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rok: 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PLN/MWh; 20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rok: </w:t>
            </w:r>
            <w:r>
              <w:rPr>
                <w:rFonts w:ascii="Arial Narrow" w:hAnsi="Arial Narrow"/>
                <w:sz w:val="20"/>
                <w:szCs w:val="20"/>
              </w:rPr>
              <w:t>…..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PLN/MWh; 202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rok: </w:t>
            </w:r>
            <w:r>
              <w:rPr>
                <w:rFonts w:ascii="Arial Narrow" w:hAnsi="Arial Narrow"/>
                <w:sz w:val="20"/>
                <w:szCs w:val="20"/>
              </w:rPr>
              <w:t>…….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PLN/MWh). </w:t>
            </w:r>
          </w:p>
          <w:p w14:paraId="27CA7E28" w14:textId="4A03DB04" w:rsidR="00C94077" w:rsidRPr="00D45227" w:rsidRDefault="00C94077" w:rsidP="00D45227">
            <w:pPr>
              <w:spacing w:before="120" w:after="120" w:line="288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6A01">
              <w:rPr>
                <w:rFonts w:ascii="Arial Narrow" w:hAnsi="Arial Narrow"/>
                <w:sz w:val="20"/>
                <w:szCs w:val="20"/>
              </w:rPr>
              <w:t xml:space="preserve">Wskazane kwoty mogą ulec zmianie w trakcie </w:t>
            </w:r>
            <w:r>
              <w:rPr>
                <w:rFonts w:ascii="Arial Narrow" w:hAnsi="Arial Narrow"/>
                <w:sz w:val="20"/>
                <w:szCs w:val="20"/>
              </w:rPr>
              <w:t>Okresu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Umownego </w:t>
            </w:r>
            <w:r w:rsidRPr="00826A01">
              <w:rPr>
                <w:rFonts w:ascii="Arial Narrow" w:hAnsi="Arial Narrow"/>
                <w:sz w:val="20"/>
                <w:szCs w:val="20"/>
              </w:rPr>
              <w:t xml:space="preserve">w przypadku zmiany 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826A01">
              <w:rPr>
                <w:rFonts w:ascii="Arial Narrow" w:hAnsi="Arial Narrow"/>
                <w:sz w:val="20"/>
                <w:szCs w:val="20"/>
              </w:rPr>
              <w:t>stawy</w:t>
            </w:r>
            <w:r>
              <w:rPr>
                <w:rFonts w:ascii="Arial Narrow" w:hAnsi="Arial Narrow"/>
                <w:sz w:val="20"/>
                <w:szCs w:val="20"/>
              </w:rPr>
              <w:t xml:space="preserve"> o Efektywności Energetycznej</w:t>
            </w:r>
            <w:r w:rsidRPr="00826A0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Taka zmiana nie wymaga zmiany Umowy.</w:t>
            </w:r>
          </w:p>
        </w:tc>
      </w:tr>
    </w:tbl>
    <w:p w14:paraId="20FA1B85" w14:textId="77777777" w:rsidR="00742539" w:rsidRDefault="00742539" w:rsidP="004C6223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UWAGA: </w:t>
      </w:r>
    </w:p>
    <w:p w14:paraId="75651089" w14:textId="151F6C74" w:rsidR="00742539" w:rsidRPr="00742539" w:rsidRDefault="00742539" w:rsidP="00742539">
      <w:pPr>
        <w:pStyle w:val="ListParagraph"/>
        <w:numPr>
          <w:ilvl w:val="0"/>
          <w:numId w:val="4"/>
        </w:numPr>
        <w:spacing w:before="120" w:after="120"/>
        <w:jc w:val="both"/>
      </w:pPr>
      <w:r w:rsidRPr="00742539">
        <w:rPr>
          <w:rFonts w:ascii="Arial Narrow" w:hAnsi="Arial Narrow" w:cs="Arial"/>
          <w:sz w:val="20"/>
          <w:szCs w:val="20"/>
        </w:rPr>
        <w:t xml:space="preserve">W przypadku wystąpienia innych kosztów związanych ze świadczeniem Usługi Biletowej w sposób zgodny </w:t>
      </w:r>
      <w:r>
        <w:rPr>
          <w:rFonts w:ascii="Arial Narrow" w:hAnsi="Arial Narrow" w:cs="Arial"/>
          <w:sz w:val="20"/>
          <w:szCs w:val="20"/>
        </w:rPr>
        <w:br/>
      </w:r>
      <w:r w:rsidRPr="00742539">
        <w:rPr>
          <w:rFonts w:ascii="Arial Narrow" w:hAnsi="Arial Narrow" w:cs="Arial"/>
          <w:sz w:val="20"/>
          <w:szCs w:val="20"/>
        </w:rPr>
        <w:t xml:space="preserve">z oczekiwaniami Klienta, koszty te zostaną uwzględnione przy kalkulacji </w:t>
      </w:r>
      <w:r>
        <w:rPr>
          <w:rFonts w:ascii="Arial Narrow" w:hAnsi="Arial Narrow" w:cs="Arial"/>
          <w:sz w:val="20"/>
          <w:szCs w:val="20"/>
        </w:rPr>
        <w:t>stosownych cen lub opłat przedstawionych w tabeli powyżej</w:t>
      </w:r>
      <w:r w:rsidRPr="00742539">
        <w:rPr>
          <w:rFonts w:ascii="Arial Narrow" w:hAnsi="Arial Narrow" w:cs="Arial"/>
          <w:sz w:val="20"/>
          <w:szCs w:val="20"/>
        </w:rPr>
        <w:t>.</w:t>
      </w:r>
    </w:p>
    <w:p w14:paraId="099208DC" w14:textId="441FDAF3" w:rsidR="00F27498" w:rsidRDefault="00742539" w:rsidP="00742539">
      <w:pPr>
        <w:pStyle w:val="ListParagraph"/>
        <w:numPr>
          <w:ilvl w:val="0"/>
          <w:numId w:val="4"/>
        </w:numPr>
        <w:spacing w:before="120" w:after="120"/>
        <w:jc w:val="both"/>
      </w:pPr>
      <w:r>
        <w:rPr>
          <w:rFonts w:ascii="Arial Narrow" w:hAnsi="Arial Narrow" w:cs="Arial"/>
          <w:sz w:val="20"/>
          <w:szCs w:val="20"/>
        </w:rPr>
        <w:t>Istotny wpływ na wysokość poszczególnych cen i opłat, ze szczególnym uwzględnieniem opłat uwzględniających pokrycie stałych lub zmiennych kosztów magazynowania, mają warunki na jakich PST nabędzie usługi systemowe. W odniesienieu do usług magazynowania nabywanych przez PST od operatorów systemów magazynowania należy w szczególności uwzględnić, że dokładny kształt produktów magazynowych nabywanych na potrzeby zleceniodawcy Usługi Biletowej, jak i ich cena mogą być przedmiotem negocjacji.</w:t>
      </w:r>
    </w:p>
    <w:sectPr w:rsidR="00F27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E5EC7"/>
    <w:multiLevelType w:val="multilevel"/>
    <w:tmpl w:val="C096C6BE"/>
    <w:styleLink w:val="1ust1"/>
    <w:lvl w:ilvl="0">
      <w:start w:val="1"/>
      <w:numFmt w:val="decimal"/>
      <w:pStyle w:val="Paragraf"/>
      <w:lvlText w:val="§ %1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sz w:val="20"/>
      </w:rPr>
    </w:lvl>
    <w:lvl w:ilvl="1">
      <w:start w:val="1"/>
      <w:numFmt w:val="decimal"/>
      <w:pStyle w:val="Ustp"/>
      <w:lvlText w:val="%1.%2."/>
      <w:lvlJc w:val="left"/>
      <w:pPr>
        <w:tabs>
          <w:tab w:val="num" w:pos="5246"/>
        </w:tabs>
        <w:ind w:left="5246" w:hanging="709"/>
      </w:pPr>
      <w:rPr>
        <w:rFonts w:ascii="Verdana" w:hAnsi="Verdana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ascii="Arial Narrow" w:eastAsia="Verdana" w:hAnsi="Arial Narrow" w:cs="Arial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Verdana" w:hAnsi="Verdana" w:hint="default"/>
      </w:rPr>
    </w:lvl>
  </w:abstractNum>
  <w:abstractNum w:abstractNumId="1" w15:restartNumberingAfterBreak="0">
    <w:nsid w:val="4F763841"/>
    <w:multiLevelType w:val="hybridMultilevel"/>
    <w:tmpl w:val="4ADC30D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E0AD5"/>
    <w:multiLevelType w:val="multilevel"/>
    <w:tmpl w:val="7F3E0F92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93"/>
        </w:tabs>
        <w:ind w:left="993" w:hanging="709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Verdana" w:hAnsi="Verdana" w:hint="default"/>
      </w:rPr>
    </w:lvl>
  </w:abstractNum>
  <w:abstractNum w:abstractNumId="3" w15:restartNumberingAfterBreak="0">
    <w:nsid w:val="645C6B45"/>
    <w:multiLevelType w:val="hybridMultilevel"/>
    <w:tmpl w:val="22706580"/>
    <w:lvl w:ilvl="0" w:tplc="1A0EDF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23"/>
    <w:rsid w:val="004C6223"/>
    <w:rsid w:val="0056533C"/>
    <w:rsid w:val="005E181B"/>
    <w:rsid w:val="00742539"/>
    <w:rsid w:val="008647CD"/>
    <w:rsid w:val="008F5CE6"/>
    <w:rsid w:val="00A20405"/>
    <w:rsid w:val="00C419E3"/>
    <w:rsid w:val="00C94077"/>
    <w:rsid w:val="00D45227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F20"/>
  <w15:chartTrackingRefBased/>
  <w15:docId w15:val="{F934CFCD-9A20-4CF8-BF53-0A78A74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223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62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6223"/>
    <w:rPr>
      <w:lang w:val="pl-PL"/>
    </w:rPr>
  </w:style>
  <w:style w:type="numbering" w:customStyle="1" w:styleId="1ust1">
    <w:name w:val="§ 1. / ust. 1"/>
    <w:basedOn w:val="NoList"/>
    <w:uiPriority w:val="99"/>
    <w:rsid w:val="004C6223"/>
    <w:pPr>
      <w:numPr>
        <w:numId w:val="1"/>
      </w:numPr>
    </w:pPr>
  </w:style>
  <w:style w:type="paragraph" w:customStyle="1" w:styleId="Paragraf">
    <w:name w:val="Paragraf"/>
    <w:basedOn w:val="Normal"/>
    <w:next w:val="Ustp"/>
    <w:qFormat/>
    <w:rsid w:val="004C6223"/>
    <w:pPr>
      <w:keepNext/>
      <w:keepLines/>
      <w:numPr>
        <w:numId w:val="1"/>
      </w:numPr>
      <w:spacing w:after="120" w:line="288" w:lineRule="auto"/>
      <w:jc w:val="center"/>
      <w:outlineLvl w:val="0"/>
    </w:pPr>
    <w:rPr>
      <w:rFonts w:ascii="Arial Narrow" w:eastAsia="Verdana" w:hAnsi="Arial Narrow" w:cs="Times New Roman"/>
      <w:b/>
      <w:sz w:val="20"/>
      <w:szCs w:val="20"/>
    </w:rPr>
  </w:style>
  <w:style w:type="paragraph" w:customStyle="1" w:styleId="Ustp">
    <w:name w:val="Ustęp"/>
    <w:basedOn w:val="Normal"/>
    <w:qFormat/>
    <w:rsid w:val="004C6223"/>
    <w:pPr>
      <w:numPr>
        <w:ilvl w:val="1"/>
        <w:numId w:val="1"/>
      </w:numPr>
      <w:spacing w:after="120" w:line="240" w:lineRule="auto"/>
      <w:jc w:val="both"/>
      <w:outlineLvl w:val="1"/>
    </w:pPr>
    <w:rPr>
      <w:rFonts w:ascii="Verdana" w:eastAsia="Verdana" w:hAnsi="Verdana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rsid w:val="004C622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2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4C6223"/>
    <w:rPr>
      <w:sz w:val="16"/>
      <w:szCs w:val="16"/>
    </w:rPr>
  </w:style>
  <w:style w:type="table" w:styleId="TableGrid">
    <w:name w:val="Table Grid"/>
    <w:basedOn w:val="TableNormal"/>
    <w:uiPriority w:val="59"/>
    <w:rsid w:val="004C622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23"/>
    <w:rPr>
      <w:rFonts w:ascii="Segoe UI" w:hAnsi="Segoe UI" w:cs="Segoe UI"/>
      <w:sz w:val="18"/>
      <w:szCs w:val="18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23"/>
    <w:pPr>
      <w:autoSpaceDE/>
      <w:autoSpaceDN/>
      <w:adjustRightInd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223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Szlagowski</dc:creator>
  <cp:keywords/>
  <dc:description/>
  <cp:lastModifiedBy>Piotr Szlagowski</cp:lastModifiedBy>
  <cp:revision>8</cp:revision>
  <dcterms:created xsi:type="dcterms:W3CDTF">2018-08-09T08:32:00Z</dcterms:created>
  <dcterms:modified xsi:type="dcterms:W3CDTF">2018-08-10T13:12:00Z</dcterms:modified>
</cp:coreProperties>
</file>